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B774" w14:textId="77777777" w:rsidR="004D09BC" w:rsidRPr="004D09BC" w:rsidRDefault="004D09BC" w:rsidP="004D09BC">
      <w:pPr>
        <w:spacing w:line="256" w:lineRule="auto"/>
        <w:jc w:val="center"/>
        <w:rPr>
          <w:rFonts w:ascii="Calibri" w:eastAsia="Calibri" w:hAnsi="Calibri" w:cs="Times New Roman"/>
          <w:b/>
          <w:bCs/>
        </w:rPr>
      </w:pPr>
      <w:r w:rsidRPr="004D09BC">
        <w:rPr>
          <w:rFonts w:ascii="Calibri" w:eastAsia="Calibri" w:hAnsi="Calibri" w:cs="Times New Roman"/>
          <w:b/>
          <w:bCs/>
        </w:rPr>
        <w:t>La norme monstrueuse :</w:t>
      </w:r>
    </w:p>
    <w:p w14:paraId="5053BA20" w14:textId="77777777" w:rsidR="004D09BC" w:rsidRPr="004D09BC" w:rsidRDefault="004D09BC" w:rsidP="004D09BC">
      <w:pPr>
        <w:spacing w:line="256" w:lineRule="auto"/>
        <w:jc w:val="center"/>
        <w:rPr>
          <w:rFonts w:ascii="Calibri" w:eastAsia="Calibri" w:hAnsi="Calibri" w:cs="Times New Roman"/>
          <w:b/>
          <w:bCs/>
          <w:i/>
          <w:iCs/>
        </w:rPr>
      </w:pPr>
      <w:proofErr w:type="gramStart"/>
      <w:r w:rsidRPr="004D09BC">
        <w:rPr>
          <w:rFonts w:ascii="Calibri" w:eastAsia="Calibri" w:hAnsi="Calibri" w:cs="Times New Roman"/>
          <w:b/>
          <w:bCs/>
        </w:rPr>
        <w:t>réflexions</w:t>
      </w:r>
      <w:proofErr w:type="gramEnd"/>
      <w:r w:rsidRPr="004D09BC">
        <w:rPr>
          <w:rFonts w:ascii="Calibri" w:eastAsia="Calibri" w:hAnsi="Calibri" w:cs="Times New Roman"/>
          <w:b/>
          <w:bCs/>
        </w:rPr>
        <w:t xml:space="preserve"> à partir du film</w:t>
      </w:r>
      <w:r w:rsidRPr="004D09BC">
        <w:rPr>
          <w:rFonts w:ascii="Calibri" w:eastAsia="Calibri" w:hAnsi="Calibri" w:cs="Times New Roman"/>
          <w:b/>
          <w:bCs/>
          <w:i/>
          <w:iCs/>
        </w:rPr>
        <w:t xml:space="preserve"> Freaks</w:t>
      </w:r>
    </w:p>
    <w:p w14:paraId="3718476D" w14:textId="77777777" w:rsidR="004D09BC" w:rsidRPr="004D09BC" w:rsidRDefault="004D09BC" w:rsidP="004D09BC">
      <w:pPr>
        <w:spacing w:line="256" w:lineRule="auto"/>
        <w:jc w:val="center"/>
        <w:rPr>
          <w:rFonts w:ascii="Calibri" w:eastAsia="Calibri" w:hAnsi="Calibri" w:cs="Times New Roman"/>
          <w:b/>
          <w:bCs/>
        </w:rPr>
      </w:pPr>
      <w:proofErr w:type="gramStart"/>
      <w:r w:rsidRPr="004D09BC">
        <w:rPr>
          <w:rFonts w:ascii="Calibri" w:eastAsia="Calibri" w:hAnsi="Calibri" w:cs="Times New Roman"/>
          <w:b/>
          <w:bCs/>
        </w:rPr>
        <w:t>de</w:t>
      </w:r>
      <w:proofErr w:type="gramEnd"/>
      <w:r w:rsidRPr="004D09BC">
        <w:rPr>
          <w:rFonts w:ascii="Calibri" w:eastAsia="Calibri" w:hAnsi="Calibri" w:cs="Times New Roman"/>
          <w:b/>
          <w:bCs/>
        </w:rPr>
        <w:t xml:space="preserve"> Tod Browning</w:t>
      </w:r>
    </w:p>
    <w:p w14:paraId="05FBBAEB" w14:textId="77777777" w:rsidR="000665D5" w:rsidRDefault="000665D5" w:rsidP="000665D5">
      <w:pPr>
        <w:rPr>
          <w:lang w:eastAsia="fr-FR"/>
        </w:rPr>
      </w:pPr>
    </w:p>
    <w:p w14:paraId="359E6DA8" w14:textId="77777777" w:rsidR="004D09BC" w:rsidRPr="000665D5" w:rsidRDefault="004D09BC" w:rsidP="000665D5">
      <w:pPr>
        <w:rPr>
          <w:lang w:eastAsia="fr-FR"/>
        </w:rPr>
      </w:pPr>
    </w:p>
    <w:p w14:paraId="253E8B16" w14:textId="77777777" w:rsidR="000665D5" w:rsidRPr="000665D5" w:rsidRDefault="000665D5" w:rsidP="000665D5">
      <w:pPr>
        <w:rPr>
          <w:lang w:eastAsia="fr-FR"/>
        </w:rPr>
      </w:pPr>
      <w:r w:rsidRPr="000665D5">
        <w:rPr>
          <w:lang w:eastAsia="fr-FR"/>
        </w:rPr>
        <w:t>Introduction</w:t>
      </w:r>
    </w:p>
    <w:p w14:paraId="45043415" w14:textId="1281851B" w:rsidR="000665D5" w:rsidRPr="000665D5" w:rsidRDefault="000665D5" w:rsidP="000665D5">
      <w:pPr>
        <w:tabs>
          <w:tab w:val="right" w:leader="dot" w:pos="9062"/>
        </w:tabs>
        <w:spacing w:after="100"/>
        <w:ind w:left="660"/>
        <w:rPr>
          <w:noProof/>
          <w:color w:val="0563C1" w:themeColor="hyperlink"/>
          <w:u w:val="single"/>
        </w:rPr>
      </w:pPr>
      <w:r w:rsidRPr="000665D5">
        <w:rPr>
          <w:lang w:eastAsia="fr-FR"/>
        </w:rPr>
        <w:fldChar w:fldCharType="begin"/>
      </w:r>
      <w:r w:rsidRPr="000665D5">
        <w:rPr>
          <w:lang w:eastAsia="fr-FR"/>
        </w:rPr>
        <w:instrText xml:space="preserve"> TOC \o "1-4" \n \h \z \u </w:instrText>
      </w:r>
      <w:r w:rsidRPr="000665D5">
        <w:rPr>
          <w:lang w:eastAsia="fr-FR"/>
        </w:rPr>
        <w:fldChar w:fldCharType="separate"/>
      </w:r>
      <w:r w:rsidRPr="000665D5">
        <w:rPr>
          <w:noProof/>
        </w:rPr>
        <w:t>2 problématiques :</w:t>
      </w:r>
    </w:p>
    <w:p w14:paraId="713A5F7A" w14:textId="0EE50465" w:rsidR="000665D5" w:rsidRPr="000665D5" w:rsidRDefault="000665D5" w:rsidP="000665D5">
      <w:pPr>
        <w:tabs>
          <w:tab w:val="right" w:leader="dot" w:pos="9062"/>
        </w:tabs>
        <w:spacing w:after="100"/>
        <w:ind w:left="660"/>
        <w:rPr>
          <w:noProof/>
        </w:rPr>
      </w:pPr>
      <w:hyperlink w:anchor="_Toc235520132" w:history="1">
        <w:r w:rsidRPr="000665D5">
          <w:rPr>
            <w:noProof/>
          </w:rPr>
          <w:t>Les monstres existent-ils vraiment ?</w:t>
        </w:r>
      </w:hyperlink>
    </w:p>
    <w:p w14:paraId="676DBA70" w14:textId="77777777" w:rsidR="000665D5" w:rsidRPr="000665D5" w:rsidRDefault="000665D5" w:rsidP="000665D5">
      <w:pPr>
        <w:tabs>
          <w:tab w:val="right" w:leader="dot" w:pos="9062"/>
        </w:tabs>
        <w:spacing w:after="100"/>
        <w:ind w:left="660"/>
        <w:rPr>
          <w:noProof/>
        </w:rPr>
      </w:pPr>
      <w:hyperlink w:anchor="_Toc235520133" w:history="1">
        <w:r w:rsidRPr="000665D5">
          <w:rPr>
            <w:noProof/>
          </w:rPr>
          <w:t>En quoi nous font-ils mieux comprendre ce qu’est l’homme ?</w:t>
        </w:r>
      </w:hyperlink>
    </w:p>
    <w:p w14:paraId="779642E9" w14:textId="77777777" w:rsidR="000665D5" w:rsidRPr="000665D5" w:rsidRDefault="000665D5" w:rsidP="000665D5"/>
    <w:p w14:paraId="5A91D7E2" w14:textId="77777777" w:rsidR="000665D5" w:rsidRPr="000665D5" w:rsidRDefault="000665D5" w:rsidP="000665D5">
      <w:pPr>
        <w:tabs>
          <w:tab w:val="right" w:leader="dot" w:pos="9062"/>
        </w:tabs>
        <w:spacing w:after="100"/>
        <w:ind w:left="220"/>
        <w:rPr>
          <w:noProof/>
        </w:rPr>
      </w:pPr>
      <w:hyperlink w:anchor="_Toc235520134" w:history="1">
        <w:r w:rsidRPr="000665D5">
          <w:rPr>
            <w:noProof/>
          </w:rPr>
          <w:t>I. Les monstres sont d’abord l’objet d’étude scientifique très sérieuse, la « teratologie » chez Aristote. Il en reconnaît l’existence, les explique, les décrit et les évalue</w:t>
        </w:r>
      </w:hyperlink>
    </w:p>
    <w:p w14:paraId="2813E107" w14:textId="77777777" w:rsidR="000665D5" w:rsidRPr="000665D5" w:rsidRDefault="000665D5" w:rsidP="000665D5">
      <w:pPr>
        <w:tabs>
          <w:tab w:val="right" w:leader="dot" w:pos="9062"/>
        </w:tabs>
        <w:spacing w:after="100"/>
        <w:ind w:left="660"/>
        <w:rPr>
          <w:noProof/>
        </w:rPr>
      </w:pPr>
      <w:hyperlink w:anchor="_Toc235520135" w:history="1">
        <w:r w:rsidRPr="000665D5">
          <w:rPr>
            <w:noProof/>
          </w:rPr>
          <w:t>Texte 1</w:t>
        </w:r>
      </w:hyperlink>
    </w:p>
    <w:p w14:paraId="1DACA0E9" w14:textId="77777777" w:rsidR="000665D5" w:rsidRPr="000665D5" w:rsidRDefault="000665D5" w:rsidP="000665D5"/>
    <w:p w14:paraId="02A5DC8C" w14:textId="37C546C7" w:rsidR="000665D5" w:rsidRPr="000665D5" w:rsidRDefault="000665D5" w:rsidP="000665D5">
      <w:pPr>
        <w:tabs>
          <w:tab w:val="right" w:leader="dot" w:pos="9062"/>
        </w:tabs>
        <w:spacing w:after="100"/>
        <w:ind w:left="220"/>
        <w:rPr>
          <w:noProof/>
        </w:rPr>
      </w:pPr>
      <w:hyperlink w:anchor="_Toc235520136" w:history="1">
        <w:r w:rsidRPr="000665D5">
          <w:rPr>
            <w:noProof/>
          </w:rPr>
          <w:t>II. Cette typologie et ce jugement suppose</w:t>
        </w:r>
        <w:r w:rsidR="00C02FB5">
          <w:rPr>
            <w:noProof/>
          </w:rPr>
          <w:t>nt</w:t>
        </w:r>
        <w:r w:rsidRPr="000665D5">
          <w:rPr>
            <w:noProof/>
          </w:rPr>
          <w:t xml:space="preserve"> une nature figée et connue. Remettre en cause cette dernière, c’est reconnaître une certaine relativité du concept de monstre et reconnaître l’incertitude de tout critère de normalité humaine.</w:t>
        </w:r>
      </w:hyperlink>
    </w:p>
    <w:p w14:paraId="300A886E" w14:textId="77777777" w:rsidR="000665D5" w:rsidRPr="000665D5" w:rsidRDefault="000665D5" w:rsidP="000665D5">
      <w:pPr>
        <w:tabs>
          <w:tab w:val="right" w:leader="dot" w:pos="9062"/>
        </w:tabs>
        <w:spacing w:after="100"/>
        <w:ind w:left="660"/>
        <w:rPr>
          <w:noProof/>
        </w:rPr>
      </w:pPr>
      <w:hyperlink w:anchor="_Toc235520137" w:history="1">
        <w:r w:rsidRPr="000665D5">
          <w:rPr>
            <w:noProof/>
          </w:rPr>
          <w:t>Texte 2</w:t>
        </w:r>
      </w:hyperlink>
    </w:p>
    <w:p w14:paraId="1F20A5D4" w14:textId="77777777" w:rsidR="000665D5" w:rsidRPr="000665D5" w:rsidRDefault="000665D5" w:rsidP="000665D5"/>
    <w:p w14:paraId="42867388" w14:textId="77777777" w:rsidR="000665D5" w:rsidRPr="000665D5" w:rsidRDefault="000665D5" w:rsidP="000665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665D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fldChar w:fldCharType="end"/>
      </w:r>
    </w:p>
    <w:p w14:paraId="3B0B071E" w14:textId="77777777" w:rsidR="000665D5" w:rsidRPr="000665D5" w:rsidRDefault="000665D5" w:rsidP="000665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665D5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Texte 1</w:t>
      </w:r>
    </w:p>
    <w:p w14:paraId="311CD427" w14:textId="77777777" w:rsidR="000665D5" w:rsidRPr="000665D5" w:rsidRDefault="000665D5" w:rsidP="000665D5">
      <w:pPr>
        <w:spacing w:after="120"/>
        <w:ind w:left="720"/>
        <w:contextualSpacing/>
        <w:jc w:val="both"/>
      </w:pPr>
      <w:r w:rsidRPr="000665D5">
        <w:t xml:space="preserve">Il y a aussi des fautes dans les choses artificielles ; il arrive au grammairien d’écrire incorrectement, au médecin d’administrer mal à propos sa potion ; par suite, évidemment, cela est aussi possible dans les choses naturelles. Si donc il y a certaines choses artificielles où ce qui est correct est déterminé téléologiquement, tandis que les parties fautives ont été entreprises en vue d’une fin mais sont manquées, de même en est-il pour les choses naturelles, et les monstres sont des erreurs de la finalité. Alors, quant aux constitutions initiales, si les bovins n’ont pas été capables d’arriver à un certain terme et à une certaine fin, c’est qu’ils avaient été produits par un principe vicié, comme maintenant les monstres le sont par une semence viciée. </w:t>
      </w:r>
    </w:p>
    <w:p w14:paraId="3A03B63C" w14:textId="77777777" w:rsidR="000665D5" w:rsidRPr="000665D5" w:rsidRDefault="000665D5" w:rsidP="000665D5">
      <w:pPr>
        <w:ind w:left="720"/>
        <w:contextualSpacing/>
        <w:jc w:val="both"/>
        <w:rPr>
          <w:lang w:eastAsia="fr-FR"/>
        </w:rPr>
      </w:pPr>
      <w:r w:rsidRPr="000665D5">
        <w:t xml:space="preserve">Aristote, </w:t>
      </w:r>
      <w:r w:rsidRPr="000665D5">
        <w:rPr>
          <w:i/>
          <w:iCs/>
        </w:rPr>
        <w:t>Physique II</w:t>
      </w:r>
      <w:r w:rsidRPr="000665D5">
        <w:t>, 199a</w:t>
      </w:r>
    </w:p>
    <w:p w14:paraId="3B72DC03" w14:textId="77777777" w:rsidR="000665D5" w:rsidRPr="000665D5" w:rsidRDefault="000665D5" w:rsidP="000665D5">
      <w:pPr>
        <w:jc w:val="both"/>
        <w:rPr>
          <w:i/>
          <w:iCs/>
          <w:lang w:eastAsia="fr-FR"/>
        </w:rPr>
      </w:pPr>
      <w:r w:rsidRPr="000665D5">
        <w:t xml:space="preserve">Texte 2 </w:t>
      </w:r>
    </w:p>
    <w:p w14:paraId="406F2C1E" w14:textId="77777777" w:rsidR="000665D5" w:rsidRPr="000665D5" w:rsidRDefault="000665D5" w:rsidP="000665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fr-FR"/>
          <w14:ligatures w14:val="none"/>
        </w:rPr>
      </w:pPr>
      <w:r w:rsidRPr="000665D5">
        <w:rPr>
          <w:rFonts w:ascii="Times New Roman" w:eastAsia="Times New Roman" w:hAnsi="Times New Roman" w:cs="Times New Roman"/>
          <w:kern w:val="0"/>
          <w:sz w:val="24"/>
          <w:szCs w:val="20"/>
          <w:lang w:eastAsia="fr-FR"/>
          <w14:ligatures w14:val="none"/>
        </w:rPr>
        <w:t>L'être-hors-la-loi peut sans doute, d'une part, et c'est la figure de la souveraineté, prendre la forme de l'être-au-dessus-des-lois, et donc la forme de la Loi elle-même, de l'origine des lois, du garant des lois, comme si la Loi, avec un grand L, la condition de la loi, était avant, au-dessus et donc en dehors de la loi, extérieure, voire hétérogène à la loi ; mais l'être-hors-la-loi peut aussi, d'autre part, et c'est la figure de ce que l'on entend le plus souvent par l'animalité ou la bestialité, [l'être-hors-la-loi]peut situer le lieu où la loi n'apparaît pas, ou n'est pas respectée, se fait violer.</w:t>
      </w:r>
    </w:p>
    <w:p w14:paraId="03FC4A40" w14:textId="77777777" w:rsidR="000665D5" w:rsidRPr="000665D5" w:rsidRDefault="000665D5" w:rsidP="000665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fr-FR"/>
          <w14:ligatures w14:val="none"/>
        </w:rPr>
      </w:pPr>
      <w:r w:rsidRPr="000665D5">
        <w:rPr>
          <w:rFonts w:ascii="Times New Roman" w:eastAsia="Times New Roman" w:hAnsi="Times New Roman" w:cs="Times New Roman"/>
          <w:kern w:val="0"/>
          <w:sz w:val="24"/>
          <w:szCs w:val="20"/>
          <w:lang w:eastAsia="fr-FR"/>
          <w14:ligatures w14:val="none"/>
        </w:rPr>
        <w:t xml:space="preserve">Jacques Derrida, </w:t>
      </w:r>
      <w:r w:rsidRPr="000665D5">
        <w:rPr>
          <w:rFonts w:ascii="Times New Roman" w:eastAsia="Times New Roman" w:hAnsi="Times New Roman" w:cs="Times New Roman"/>
          <w:i/>
          <w:iCs/>
          <w:kern w:val="0"/>
          <w:sz w:val="24"/>
          <w:szCs w:val="20"/>
          <w:lang w:eastAsia="fr-FR"/>
          <w14:ligatures w14:val="none"/>
        </w:rPr>
        <w:t>La bête et le souverain.</w:t>
      </w:r>
    </w:p>
    <w:p w14:paraId="00B93A71" w14:textId="77777777" w:rsidR="000665D5" w:rsidRPr="000665D5" w:rsidRDefault="000665D5" w:rsidP="000665D5"/>
    <w:p w14:paraId="2AB1D3F6" w14:textId="77777777" w:rsidR="00CA15E2" w:rsidRDefault="00CA15E2"/>
    <w:sectPr w:rsidR="00CA15E2" w:rsidSect="00066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D5"/>
    <w:rsid w:val="000665D5"/>
    <w:rsid w:val="00223B85"/>
    <w:rsid w:val="00304C1B"/>
    <w:rsid w:val="004D09BC"/>
    <w:rsid w:val="00674106"/>
    <w:rsid w:val="009D5E23"/>
    <w:rsid w:val="00C02FB5"/>
    <w:rsid w:val="00CA15E2"/>
    <w:rsid w:val="00F7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5195"/>
  <w15:chartTrackingRefBased/>
  <w15:docId w15:val="{C1BA46D4-088D-4804-8A62-0240168D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6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6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65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6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65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6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6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6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6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65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6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65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65D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65D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65D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65D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65D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65D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6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6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6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6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6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65D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65D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65D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65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65D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65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m dub</cp:lastModifiedBy>
  <cp:revision>3</cp:revision>
  <dcterms:created xsi:type="dcterms:W3CDTF">2026-07-21T07:56:00Z</dcterms:created>
  <dcterms:modified xsi:type="dcterms:W3CDTF">2026-08-30T09:50:00Z</dcterms:modified>
</cp:coreProperties>
</file>