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5A" w:rsidRPr="00806FEB" w:rsidRDefault="0015705A" w:rsidP="0015705A">
      <w:pPr>
        <w:pStyle w:val="TM2"/>
        <w:jc w:val="center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r>
        <w:fldChar w:fldCharType="begin"/>
      </w:r>
      <w:r>
        <w:instrText xml:space="preserve"> TOC \o "1-4" \n \h \z \u </w:instrText>
      </w:r>
      <w:r>
        <w:fldChar w:fldCharType="separate"/>
      </w:r>
      <w:hyperlink w:anchor="_Toc44186746" w:history="1">
        <w:r w:rsidRPr="00806FEB">
          <w:rPr>
            <w:rStyle w:val="Lienhypertexte"/>
          </w:rPr>
          <w:t>Du contrat social à la communauté,</w:t>
        </w:r>
      </w:hyperlink>
    </w:p>
    <w:p w:rsidR="0015705A" w:rsidRPr="00806FEB" w:rsidRDefault="0015705A" w:rsidP="0015705A">
      <w:pPr>
        <w:pStyle w:val="TM2"/>
        <w:jc w:val="center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44186747" w:history="1">
        <w:r w:rsidRPr="00806FEB">
          <w:rPr>
            <w:rStyle w:val="Lienhypertexte"/>
          </w:rPr>
          <w:t>ou les risques du lien social par l’histoire</w:t>
        </w:r>
      </w:hyperlink>
    </w:p>
    <w:p w:rsidR="0015705A" w:rsidRPr="00806FEB" w:rsidRDefault="0015705A" w:rsidP="0015705A">
      <w:pPr>
        <w:pStyle w:val="TM2"/>
        <w:jc w:val="center"/>
        <w:rPr>
          <w:rStyle w:val="Lienhypertexte"/>
        </w:rPr>
      </w:pPr>
      <w:hyperlink w:anchor="_Toc44186748" w:history="1">
        <w:r w:rsidRPr="00806FEB">
          <w:rPr>
            <w:rStyle w:val="Lienhypertexte"/>
          </w:rPr>
          <w:t>(Taylor critique de Rawls)</w:t>
        </w:r>
      </w:hyperlink>
    </w:p>
    <w:p w:rsidR="0015705A" w:rsidRPr="00087060" w:rsidRDefault="0015705A" w:rsidP="0015705A">
      <w:pPr>
        <w:rPr>
          <w:rFonts w:eastAsiaTheme="minorEastAsia"/>
        </w:rPr>
      </w:pPr>
    </w:p>
    <w:p w:rsidR="0015705A" w:rsidRPr="00087060" w:rsidRDefault="0015705A" w:rsidP="0015705A">
      <w:pPr>
        <w:pStyle w:val="TM4"/>
        <w:ind w:left="0"/>
      </w:pPr>
      <w:hyperlink w:anchor="_Toc44186749" w:history="1">
        <w:r w:rsidRPr="00087060">
          <w:rPr>
            <w:rStyle w:val="Lienhypertexte"/>
            <w:b/>
          </w:rPr>
          <w:t>Introduction</w:t>
        </w:r>
      </w:hyperlink>
    </w:p>
    <w:p w:rsidR="0015705A" w:rsidRDefault="0015705A" w:rsidP="0015705A">
      <w:pPr>
        <w:pStyle w:val="TM4"/>
        <w:ind w:left="0"/>
        <w:rPr>
          <w:rStyle w:val="Lienhypertexte"/>
        </w:rPr>
      </w:pPr>
      <w:hyperlink w:anchor="_Toc44186750" w:history="1">
        <w:r w:rsidRPr="00A13A69">
          <w:rPr>
            <w:rStyle w:val="Lienhypertexte"/>
          </w:rPr>
          <w:t>Paradoxe principal : l’opposition d’un modèle volontariste, universaliste mais anhistorique à un modèle culturel relativiste mais apparemment plus concret</w:t>
        </w:r>
      </w:hyperlink>
    </w:p>
    <w:p w:rsidR="0015705A" w:rsidRPr="00087060" w:rsidRDefault="0015705A" w:rsidP="0015705A">
      <w:pPr>
        <w:rPr>
          <w:lang w:eastAsia="fr-FR"/>
        </w:rPr>
      </w:pPr>
      <w:r>
        <w:rPr>
          <w:lang w:eastAsia="fr-FR"/>
        </w:rPr>
        <w:t xml:space="preserve">2 problématiques préparatoires : </w:t>
      </w:r>
    </w:p>
    <w:p w:rsidR="0015705A" w:rsidRDefault="0015705A" w:rsidP="0015705A">
      <w:pPr>
        <w:pStyle w:val="TM4"/>
        <w:ind w:left="0"/>
      </w:pPr>
      <w:hyperlink w:anchor="_Toc44186751" w:history="1">
        <w:r w:rsidRPr="00A13A69">
          <w:rPr>
            <w:rStyle w:val="Lienhypertexte"/>
          </w:rPr>
          <w:t>i) Le lien social se pense-t-il en dehors de l’histoire ?</w:t>
        </w:r>
      </w:hyperlink>
    </w:p>
    <w:p w:rsidR="0015705A" w:rsidRDefault="0015705A" w:rsidP="0015705A">
      <w:pPr>
        <w:pStyle w:val="TM4"/>
        <w:ind w:left="0"/>
      </w:pPr>
      <w:hyperlink w:anchor="_Toc44186752" w:history="1">
        <w:r w:rsidRPr="00A13A69">
          <w:rPr>
            <w:rStyle w:val="Lienhypertexte"/>
          </w:rPr>
          <w:t>ii) Peut-on préserver l’universalité ou l’objectivité de la justice si on la rapporte à l’histoire ?</w:t>
        </w:r>
      </w:hyperlink>
    </w:p>
    <w:p w:rsidR="0015705A" w:rsidRDefault="0015705A" w:rsidP="0015705A">
      <w:pPr>
        <w:pStyle w:val="TM4"/>
        <w:ind w:left="0"/>
        <w:rPr>
          <w:rStyle w:val="Lienhypertexte"/>
        </w:rPr>
      </w:pPr>
      <w:hyperlink w:anchor="_Toc44186753" w:history="1">
        <w:r w:rsidRPr="00A13A69">
          <w:rPr>
            <w:rStyle w:val="Lienhypertexte"/>
          </w:rPr>
          <w:t>Problématique principale : le lien social, s’il réclame l’histoire, est-il porteur d’une justice relative qui en retour fragilise la communauté ?</w:t>
        </w:r>
      </w:hyperlink>
    </w:p>
    <w:p w:rsidR="0015705A" w:rsidRPr="00087060" w:rsidRDefault="0015705A" w:rsidP="0015705A">
      <w:pPr>
        <w:rPr>
          <w:lang w:eastAsia="fr-FR"/>
        </w:rPr>
      </w:pPr>
    </w:p>
    <w:p w:rsidR="0015705A" w:rsidRPr="00087060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54" w:history="1">
        <w:r w:rsidRPr="00087060">
          <w:rPr>
            <w:rStyle w:val="Lienhypertexte"/>
          </w:rPr>
          <w:t>1. La justice procédurale et anhistorique de Rawls doit permettre de penser un lien social fort à partir d’un contrat volontaire.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55" w:history="1">
        <w:r w:rsidRPr="00A13A69">
          <w:rPr>
            <w:rStyle w:val="Lienhypertexte"/>
          </w:rPr>
          <w:t>1.1. Les biens sociaux premiers</w:t>
        </w:r>
      </w:hyperlink>
    </w:p>
    <w:p w:rsidR="0015705A" w:rsidRDefault="0015705A" w:rsidP="0015705A">
      <w:pPr>
        <w:pStyle w:val="TM4"/>
      </w:pPr>
      <w:hyperlink w:anchor="_Toc44186756" w:history="1">
        <w:r w:rsidRPr="00A13A69">
          <w:rPr>
            <w:rStyle w:val="Lienhypertexte"/>
            <w:rFonts w:eastAsia="Calibri"/>
          </w:rPr>
          <w:t>Texte 1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57" w:history="1">
        <w:r w:rsidRPr="00A13A69">
          <w:rPr>
            <w:rStyle w:val="Lienhypertexte"/>
          </w:rPr>
          <w:t>1.2. Les deux principes de justice, fruit du contrat social</w:t>
        </w:r>
      </w:hyperlink>
    </w:p>
    <w:p w:rsidR="0015705A" w:rsidRDefault="0015705A" w:rsidP="0015705A">
      <w:pPr>
        <w:pStyle w:val="TM4"/>
      </w:pPr>
      <w:hyperlink w:anchor="_Toc44186758" w:history="1">
        <w:r w:rsidRPr="00A13A69">
          <w:rPr>
            <w:rStyle w:val="Lienhypertexte"/>
            <w:rFonts w:eastAsia="Calibri"/>
          </w:rPr>
          <w:t>Texte 2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59" w:history="1">
        <w:r w:rsidRPr="00A13A69">
          <w:rPr>
            <w:rStyle w:val="Lienhypertexte"/>
          </w:rPr>
          <w:t>1.3. Evaluation.</w:t>
        </w:r>
      </w:hyperlink>
    </w:p>
    <w:p w:rsidR="0015705A" w:rsidRDefault="0015705A" w:rsidP="0015705A">
      <w:pPr>
        <w:pStyle w:val="TM4"/>
      </w:pPr>
      <w:hyperlink w:anchor="_Toc44186760" w:history="1">
        <w:r w:rsidRPr="00A13A69">
          <w:rPr>
            <w:rStyle w:val="Lienhypertexte"/>
            <w:rFonts w:eastAsia="Calibri"/>
          </w:rPr>
          <w:t>Texte 3</w:t>
        </w:r>
      </w:hyperlink>
    </w:p>
    <w:p w:rsidR="0015705A" w:rsidRPr="00087060" w:rsidRDefault="0015705A" w:rsidP="0015705A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fr-FR"/>
        </w:rPr>
      </w:pPr>
      <w:hyperlink w:anchor="_Toc44186761" w:history="1">
        <w:r w:rsidRPr="00087060">
          <w:rPr>
            <w:rStyle w:val="Lienhypertexte"/>
          </w:rPr>
          <w:t>2. L’engagement historique et involontaire du moi doit conduire à une politique de la différence qui assure la cohésion de la communauté si elle est réfléchie (Taylor)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62" w:history="1">
        <w:r w:rsidRPr="00A13A69">
          <w:rPr>
            <w:rStyle w:val="Lienhypertexte"/>
          </w:rPr>
          <w:t>2.1.Un étonnement initial : la modernité et l’illusion de l’autonomie rousseauiste.</w:t>
        </w:r>
      </w:hyperlink>
    </w:p>
    <w:p w:rsidR="0015705A" w:rsidRDefault="0015705A" w:rsidP="0015705A">
      <w:pPr>
        <w:pStyle w:val="TM4"/>
      </w:pPr>
      <w:hyperlink w:anchor="_Toc44186763" w:history="1">
        <w:r w:rsidRPr="00A13A69">
          <w:rPr>
            <w:rStyle w:val="Lienhypertexte"/>
          </w:rPr>
          <w:t>Texte 4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64" w:history="1">
        <w:r w:rsidRPr="00A13A69">
          <w:rPr>
            <w:rStyle w:val="Lienhypertexte"/>
          </w:rPr>
          <w:t>2.2. Critique du libéralisme et de l’individualisme méthodologique : le moi est historiquement engagé</w:t>
        </w:r>
      </w:hyperlink>
    </w:p>
    <w:p w:rsidR="0015705A" w:rsidRDefault="0015705A" w:rsidP="0015705A">
      <w:pPr>
        <w:pStyle w:val="TM4"/>
      </w:pPr>
      <w:hyperlink w:anchor="_Toc44186765" w:history="1">
        <w:r w:rsidRPr="00A13A69">
          <w:rPr>
            <w:rStyle w:val="Lienhypertexte"/>
          </w:rPr>
          <w:t>Texte 5</w:t>
        </w:r>
      </w:hyperlink>
    </w:p>
    <w:p w:rsidR="0015705A" w:rsidRDefault="0015705A" w:rsidP="0015705A">
      <w:pPr>
        <w:pStyle w:val="TM4"/>
      </w:pPr>
      <w:hyperlink w:anchor="_Toc44186766" w:history="1">
        <w:r w:rsidRPr="00A13A69">
          <w:rPr>
            <w:rStyle w:val="Lienhypertexte"/>
          </w:rPr>
          <w:t>Texte 6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67" w:history="1">
        <w:r w:rsidRPr="00A13A69">
          <w:rPr>
            <w:rStyle w:val="Lienhypertexte"/>
          </w:rPr>
          <w:t>2.3.</w:t>
        </w:r>
        <w:r w:rsidR="00A96A74">
          <w:rPr>
            <w:rStyle w:val="Lienhypertexte"/>
          </w:rPr>
          <w:t xml:space="preserve">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A13A69">
          <w:rPr>
            <w:rStyle w:val="Lienhypertexte"/>
          </w:rPr>
          <w:t>En refusant de la priorité rawlsienne du juste, on peut penser le lien concret des individus par l’histoire et le renforcer par un patriotisme réfléchi</w:t>
        </w:r>
      </w:hyperlink>
    </w:p>
    <w:p w:rsidR="0015705A" w:rsidRDefault="0015705A" w:rsidP="0015705A">
      <w:pPr>
        <w:pStyle w:val="TM4"/>
      </w:pPr>
      <w:hyperlink w:anchor="_Toc44186768" w:history="1">
        <w:r w:rsidRPr="00A13A69">
          <w:rPr>
            <w:rStyle w:val="Lienhypertexte"/>
          </w:rPr>
          <w:t>Texte 7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69" w:history="1">
        <w:r w:rsidR="00A96A74">
          <w:rPr>
            <w:rStyle w:val="Lienhypertexte"/>
          </w:rPr>
          <w:t>2.4</w:t>
        </w:r>
        <w:r w:rsidRPr="00A13A69">
          <w:rPr>
            <w:rStyle w:val="Lienhypertexte"/>
          </w:rPr>
          <w:t xml:space="preserve">. Dès lors le renforcement du lien social passe par la satisfaction du besoin de reconnaissance et la défense </w:t>
        </w:r>
        <w:r w:rsidR="00F3398D">
          <w:rPr>
            <w:rStyle w:val="Lienhypertexte"/>
          </w:rPr>
          <w:t xml:space="preserve">risquée </w:t>
        </w:r>
        <w:bookmarkStart w:id="0" w:name="_GoBack"/>
        <w:bookmarkEnd w:id="0"/>
        <w:r w:rsidRPr="00A13A69">
          <w:rPr>
            <w:rStyle w:val="Lienhypertexte"/>
          </w:rPr>
          <w:t>du multiculturalisme</w:t>
        </w:r>
      </w:hyperlink>
    </w:p>
    <w:p w:rsidR="0015705A" w:rsidRDefault="0015705A" w:rsidP="0015705A">
      <w:pPr>
        <w:pStyle w:val="TM4"/>
      </w:pPr>
      <w:hyperlink w:anchor="_Toc44186770" w:history="1">
        <w:r w:rsidRPr="00A13A69">
          <w:rPr>
            <w:rStyle w:val="Lienhypertexte"/>
          </w:rPr>
          <w:t>Texte 8</w:t>
        </w:r>
      </w:hyperlink>
    </w:p>
    <w:p w:rsidR="0015705A" w:rsidRDefault="0015705A" w:rsidP="0015705A">
      <w:pPr>
        <w:pStyle w:val="TM4"/>
      </w:pPr>
      <w:hyperlink w:anchor="_Toc44186771" w:history="1">
        <w:r w:rsidRPr="00A13A69">
          <w:rPr>
            <w:rStyle w:val="Lienhypertexte"/>
          </w:rPr>
          <w:t>Texte 9</w:t>
        </w:r>
      </w:hyperlink>
    </w:p>
    <w:p w:rsidR="0015705A" w:rsidRDefault="0015705A" w:rsidP="0015705A">
      <w:pPr>
        <w:pStyle w:val="TM4"/>
      </w:pPr>
      <w:hyperlink w:anchor="_Toc44186772" w:history="1">
        <w:r w:rsidRPr="00A13A69">
          <w:rPr>
            <w:rStyle w:val="Lienhypertexte"/>
          </w:rPr>
          <w:t>Texte 10</w:t>
        </w:r>
      </w:hyperlink>
    </w:p>
    <w:p w:rsidR="0015705A" w:rsidRDefault="0015705A" w:rsidP="0015705A">
      <w:pPr>
        <w:pStyle w:val="TM3"/>
        <w:rPr>
          <w:rFonts w:asciiTheme="minorHAnsi" w:eastAsiaTheme="minorEastAsia" w:hAnsiTheme="minorHAnsi" w:cstheme="minorBidi"/>
          <w:sz w:val="22"/>
          <w:szCs w:val="22"/>
        </w:rPr>
      </w:pPr>
      <w:hyperlink w:anchor="_Toc44186773" w:history="1">
        <w:r w:rsidRPr="00A13A69">
          <w:rPr>
            <w:rStyle w:val="Lienhypertexte"/>
          </w:rPr>
          <w:t>Conclusion et évaluation</w:t>
        </w:r>
      </w:hyperlink>
    </w:p>
    <w:p w:rsidR="0015705A" w:rsidRPr="001A5D69" w:rsidRDefault="0015705A" w:rsidP="0015705A">
      <w:r>
        <w:fldChar w:fldCharType="end"/>
      </w:r>
    </w:p>
    <w:p w:rsidR="00FD6553" w:rsidRDefault="00F3398D"/>
    <w:sectPr w:rsidR="00FD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5A"/>
    <w:rsid w:val="0000315D"/>
    <w:rsid w:val="0015705A"/>
    <w:rsid w:val="002610D6"/>
    <w:rsid w:val="00A96A74"/>
    <w:rsid w:val="00F3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05A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24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480"/>
    </w:pPr>
    <w:rPr>
      <w:b/>
      <w:noProof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720"/>
    </w:pPr>
    <w:rPr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705A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24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480"/>
    </w:pPr>
    <w:rPr>
      <w:b/>
      <w:noProof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15705A"/>
    <w:pPr>
      <w:tabs>
        <w:tab w:val="right" w:leader="dot" w:pos="9062"/>
      </w:tabs>
      <w:spacing w:after="100"/>
      <w:ind w:left="720"/>
    </w:pPr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Dubost</dc:creator>
  <cp:lastModifiedBy>Matthieu Dubost</cp:lastModifiedBy>
  <cp:revision>3</cp:revision>
  <dcterms:created xsi:type="dcterms:W3CDTF">2020-06-27T19:47:00Z</dcterms:created>
  <dcterms:modified xsi:type="dcterms:W3CDTF">2020-06-27T19:49:00Z</dcterms:modified>
</cp:coreProperties>
</file>